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598B" w:rsidRPr="008A598B" w:rsidRDefault="008A598B" w:rsidP="008A59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Под интенсивностью движения понимается …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en-GB"/>
        </w:rPr>
        <w:t>A</w:t>
      </w:r>
      <w:r w:rsidRPr="008A598B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)</w:t>
      </w:r>
      <w:r w:rsidRPr="008A598B">
        <w:rPr>
          <w:rFonts w:ascii="Times New Roman" w:eastAsia="Times New Roman" w:hAnsi="Times New Roman" w:cs="Times New Roman"/>
          <w:color w:val="339966"/>
          <w:sz w:val="28"/>
          <w:szCs w:val="28"/>
          <w:lang w:eastAsia="en-GB"/>
        </w:rPr>
        <w:t xml:space="preserve"> 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Количество автомобилей, проходящее через некоторое сечение автомобильной дороги за единицу времени;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B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) Число транспортных средств, проезжающих по дороге за </w:t>
      </w:r>
      <w:proofErr w:type="gramStart"/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определенный  период</w:t>
      </w:r>
      <w:proofErr w:type="gramEnd"/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времени;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C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) Фактическое количество транспортных средств, проехавших по дороге за определенный период времени;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D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) Число транспортных средств, которое может проехать через сечение до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softHyphen/>
        <w:t>роги за единицу времени;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Е) Число транспортных средств, которое может проехать по дороге за еди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softHyphen/>
        <w:t>ницу времени в обоих направлениях.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iCs/>
          <w:sz w:val="28"/>
          <w:szCs w:val="28"/>
          <w:lang w:eastAsia="en-GB"/>
        </w:rPr>
        <w:t>Провозная способность дороги</w:t>
      </w:r>
      <w:r w:rsidRPr="008A598B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>…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А) максимальная масса грузов, которые могут быть перевезены через данный участок автомобильной дороги в единицу времени;</w:t>
      </w:r>
    </w:p>
    <w:p w:rsidR="008A598B" w:rsidRPr="008A598B" w:rsidRDefault="008A598B" w:rsidP="008A598B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В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) максимальная масса грузов или количества пассажиров, которые могут быть перевезены через данный участок автодороги в единицу времени;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С) максимальное количество пассажиров, которые могут быть перевезены через данный участок автомобильной дороги в единицу времени;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Д) эксплуатационный показатель дороги, характеризующий </w:t>
      </w:r>
      <w:proofErr w:type="gramStart"/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сопротивляемость</w:t>
      </w:r>
      <w:proofErr w:type="gramEnd"/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дорожных покрытий воздействию автомобильного движения;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Е) показатель дороги, характеризующий вероятность безотказной работы автодороги.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Техническая с</w:t>
      </w:r>
      <w:r w:rsidRPr="008A598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корость показывает</w:t>
      </w:r>
      <w:r w:rsidRPr="008A598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…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среднюю скорость на данном маршруте с учетом задержек, вызванных наличием пересечений в одном уровне, железнодорожных переездов, или взаимным влиянием автомобилей в потоке;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среднюю скорость на данном маршруте без учета задержек, вызванных наличием пересечений в одном уровне, железнодорожных переездов, или взаимным влиянием автомобилей в потоке;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С) максимальную скорость на данном участке дороги;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среднюю скорость, на которую рассчитывают работу всех систем управления движением;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среднюю скорость на данном маршруте без учета задержек, вызванных наличием пересечений в одном уровне или другими факторами, и определяется в основном размерами геометрических элементов дороги.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iCs/>
          <w:sz w:val="28"/>
          <w:szCs w:val="28"/>
          <w:lang w:eastAsia="en-GB"/>
        </w:rPr>
        <w:t>Коэффициент сцепления – это</w:t>
      </w:r>
      <w:r w:rsidRPr="008A598B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>…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отношение максимального значения силы тяги на ободе колеса к весу автомобиля;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В) отношение минимального значения силы тяги на ободе колеса к сцепному весу автомобиля;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 отношение максимального значения силы тяги на ободе колеса к сцепному весу автомобиля;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</w:t>
      </w:r>
      <w:proofErr w:type="gramStart"/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отношение  силы</w:t>
      </w:r>
      <w:proofErr w:type="gramEnd"/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тяги на ободе колеса к сцепному весу автомобиля;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Е) отношение силы тяги автомобиля к сцепному весу автомобиля.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Как называется возможность движения по дороге с заданной скоростью в различные периоды года</w:t>
      </w:r>
      <w:r w:rsidRPr="008A598B">
        <w:rPr>
          <w:rFonts w:ascii="Times New Roman" w:eastAsia="Times New Roman" w:hAnsi="Times New Roman" w:cs="Times New Roman"/>
          <w:iCs/>
          <w:sz w:val="28"/>
          <w:szCs w:val="28"/>
          <w:lang w:eastAsia="en-GB"/>
        </w:rPr>
        <w:t>…</w:t>
      </w:r>
      <w:r w:rsidRPr="008A598B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 xml:space="preserve">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GB"/>
        </w:rPr>
        <w:t>А</w:t>
      </w: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 xml:space="preserve">) </w:t>
      </w:r>
      <w:proofErr w:type="spellStart"/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проезжаемость</w:t>
      </w:r>
      <w:proofErr w:type="spellEnd"/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 xml:space="preserve"> дороги;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В) срок службы автомобильной дороги;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С) ровность дорожного покрытия;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Д) работоспособность дорожной одежды; 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Е) износостойкость покрытия.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iCs/>
          <w:sz w:val="28"/>
          <w:szCs w:val="28"/>
          <w:lang w:eastAsia="en-GB"/>
        </w:rPr>
        <w:t xml:space="preserve">Показатель, </w:t>
      </w:r>
      <w:proofErr w:type="gramStart"/>
      <w:r w:rsidRPr="008A598B">
        <w:rPr>
          <w:rFonts w:ascii="Times New Roman" w:eastAsia="Times New Roman" w:hAnsi="Times New Roman" w:cs="Times New Roman"/>
          <w:iCs/>
          <w:sz w:val="28"/>
          <w:szCs w:val="28"/>
          <w:lang w:eastAsia="en-GB"/>
        </w:rPr>
        <w:t>характеризующий  эффективности</w:t>
      </w:r>
      <w:proofErr w:type="gramEnd"/>
      <w:r w:rsidRPr="008A598B">
        <w:rPr>
          <w:rFonts w:ascii="Times New Roman" w:eastAsia="Times New Roman" w:hAnsi="Times New Roman" w:cs="Times New Roman"/>
          <w:iCs/>
          <w:sz w:val="28"/>
          <w:szCs w:val="28"/>
          <w:lang w:eastAsia="en-GB"/>
        </w:rPr>
        <w:t xml:space="preserve"> работы автомобильного транспорта в рассматриваемых дорожных условиях</w:t>
      </w:r>
      <w:r w:rsidRPr="008A598B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>…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GB"/>
        </w:rPr>
        <w:t>А</w:t>
      </w: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) себестоимость перевозок;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В) дорожная составляющая себестоимости перевозок;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С) транспортная составляющая себестоимости;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Д) потери от ДТП;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Е) стоимостные коэффициенты.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iCs/>
          <w:sz w:val="28"/>
          <w:szCs w:val="28"/>
          <w:lang w:eastAsia="en-GB"/>
        </w:rPr>
        <w:t xml:space="preserve">Показатели, </w:t>
      </w:r>
      <w:proofErr w:type="gramStart"/>
      <w:r w:rsidRPr="008A598B">
        <w:rPr>
          <w:rFonts w:ascii="Times New Roman" w:eastAsia="Times New Roman" w:hAnsi="Times New Roman" w:cs="Times New Roman"/>
          <w:iCs/>
          <w:sz w:val="28"/>
          <w:szCs w:val="28"/>
          <w:lang w:eastAsia="en-GB"/>
        </w:rPr>
        <w:t>характеризующие  общее</w:t>
      </w:r>
      <w:proofErr w:type="gramEnd"/>
      <w:r w:rsidRPr="008A598B">
        <w:rPr>
          <w:rFonts w:ascii="Times New Roman" w:eastAsia="Times New Roman" w:hAnsi="Times New Roman" w:cs="Times New Roman"/>
          <w:iCs/>
          <w:sz w:val="28"/>
          <w:szCs w:val="28"/>
          <w:lang w:eastAsia="en-GB"/>
        </w:rPr>
        <w:t xml:space="preserve"> состояние автомобильной дороги и условия движения по  ней…</w:t>
      </w:r>
    </w:p>
    <w:p w:rsidR="008A598B" w:rsidRPr="008A598B" w:rsidRDefault="008A598B" w:rsidP="008A598B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А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) надежность автомобильной дороги, </w:t>
      </w:r>
      <w:proofErr w:type="spellStart"/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проезжаемость</w:t>
      </w:r>
      <w:proofErr w:type="spellEnd"/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дороги, относительная аварийность, коэффициент аварийности, коэффициент безопасности, обеспеченность видимости на дороге;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В) себестоимость перевозок, потери от дорожно-транспортных происшествий;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proofErr w:type="gramStart"/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С)  интенсивность</w:t>
      </w:r>
      <w:proofErr w:type="gramEnd"/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движения, пропускная способность дороги, провозная способность дороги;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Д) прочность дорожной одежды, работоспособность дорожной одежды;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Е) интенсивность движения, себестоимость перевозок, коэффициент сцепления.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Уровень удобства А характеризуется следующими коэффициентами…</w:t>
      </w:r>
    </w:p>
    <w:p w:rsidR="008A598B" w:rsidRPr="008A598B" w:rsidRDefault="008A598B" w:rsidP="008A598B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</w:pP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 xml:space="preserve">А) 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en-US" w:eastAsia="en-GB"/>
        </w:rPr>
        <w:t>z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eastAsia="en-GB"/>
        </w:rPr>
        <w:t>≤0,2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>; с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eastAsia="en-GB"/>
        </w:rPr>
        <w:t>≥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 xml:space="preserve">0,9; </w:t>
      </w:r>
      <w:r w:rsidRPr="008A598B">
        <w:rPr>
          <w:rFonts w:ascii="Lucida Sans Unicode" w:eastAsia="Times New Roman" w:hAnsi="Lucida Sans Unicode" w:cs="Lucida Sans Unicode"/>
          <w:sz w:val="28"/>
          <w:szCs w:val="28"/>
          <w:lang w:val="kk-KZ" w:eastAsia="en-GB"/>
        </w:rPr>
        <w:t>ρ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>&lt;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eastAsia="en-GB"/>
        </w:rPr>
        <w:t>0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>,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eastAsia="en-GB"/>
        </w:rPr>
        <w:t>1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>;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eastAsia="en-GB"/>
        </w:rPr>
        <w:t xml:space="preserve"> </w:t>
      </w:r>
    </w:p>
    <w:p w:rsidR="008A598B" w:rsidRPr="008A598B" w:rsidRDefault="008A598B" w:rsidP="008A598B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eastAsia="en-GB"/>
        </w:rPr>
      </w:pP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>В) 0,5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eastAsia="en-GB"/>
        </w:rPr>
        <w:t>≥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en-US" w:eastAsia="en-GB"/>
        </w:rPr>
        <w:t>z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eastAsia="en-GB"/>
        </w:rPr>
        <w:t>≤0,2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>; с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eastAsia="en-GB"/>
        </w:rPr>
        <w:t>≥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 xml:space="preserve">0,9; </w:t>
      </w:r>
      <w:r w:rsidRPr="008A598B">
        <w:rPr>
          <w:rFonts w:ascii="Lucida Sans Unicode" w:eastAsia="Times New Roman" w:hAnsi="Lucida Sans Unicode" w:cs="Lucida Sans Unicode"/>
          <w:sz w:val="28"/>
          <w:szCs w:val="28"/>
          <w:lang w:val="kk-KZ" w:eastAsia="en-GB"/>
        </w:rPr>
        <w:t>ρ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>&lt;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eastAsia="en-GB"/>
        </w:rPr>
        <w:t>0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>,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eastAsia="en-GB"/>
        </w:rPr>
        <w:t>1;</w:t>
      </w:r>
    </w:p>
    <w:p w:rsidR="008A598B" w:rsidRPr="008A598B" w:rsidRDefault="008A598B" w:rsidP="008A598B">
      <w:pPr>
        <w:spacing w:after="0" w:line="240" w:lineRule="auto"/>
        <w:jc w:val="both"/>
        <w:rPr>
          <w:rFonts w:ascii="KZ Times New Roman" w:eastAsia="Times New Roman" w:hAnsi="KZ Times New Roman" w:cs="Times New Roman"/>
          <w:b/>
          <w:bCs/>
          <w:sz w:val="28"/>
          <w:szCs w:val="28"/>
          <w:lang w:val="kk-KZ" w:eastAsia="en-GB"/>
        </w:rPr>
      </w:pPr>
      <w:r w:rsidRPr="008A598B">
        <w:rPr>
          <w:rFonts w:ascii="KZ Times New Roman" w:eastAsia="Times New Roman" w:hAnsi="KZ Times New Roman" w:cs="Times New Roman"/>
          <w:color w:val="000000"/>
          <w:sz w:val="28"/>
          <w:szCs w:val="28"/>
          <w:lang w:val="kk-KZ" w:eastAsia="en-GB"/>
        </w:rPr>
        <w:t>С</w:t>
      </w:r>
      <w:r w:rsidRPr="008A598B">
        <w:rPr>
          <w:rFonts w:ascii="KZ Times New Roman" w:eastAsia="Times New Roman" w:hAnsi="KZ Times New Roman" w:cs="Times New Roman"/>
          <w:b/>
          <w:bCs/>
          <w:sz w:val="28"/>
          <w:szCs w:val="28"/>
          <w:lang w:val="kk-KZ" w:eastAsia="en-GB"/>
        </w:rPr>
        <w:t xml:space="preserve">) </w:t>
      </w:r>
      <w:r w:rsidRPr="008A598B">
        <w:rPr>
          <w:rFonts w:ascii="KZ Times New Roman" w:eastAsia="Times New Roman" w:hAnsi="KZ Times New Roman" w:cs="Times New Roman"/>
          <w:bCs/>
          <w:sz w:val="28"/>
          <w:szCs w:val="28"/>
          <w:lang w:val="en-US" w:eastAsia="en-GB"/>
        </w:rPr>
        <w:t>z</w:t>
      </w:r>
      <w:r w:rsidRPr="008A598B">
        <w:rPr>
          <w:rFonts w:ascii="KZ Times New Roman" w:eastAsia="Times New Roman" w:hAnsi="KZ Times New Roman" w:cs="Times New Roman"/>
          <w:bCs/>
          <w:sz w:val="28"/>
          <w:szCs w:val="28"/>
          <w:lang w:eastAsia="en-GB"/>
        </w:rPr>
        <w:t>≤0,2</w:t>
      </w:r>
      <w:r w:rsidRPr="008A598B">
        <w:rPr>
          <w:rFonts w:ascii="KZ Times New Roman" w:eastAsia="Times New Roman" w:hAnsi="KZ Times New Roman" w:cs="Times New Roman"/>
          <w:bCs/>
          <w:sz w:val="28"/>
          <w:szCs w:val="28"/>
          <w:lang w:val="kk-KZ" w:eastAsia="en-GB"/>
        </w:rPr>
        <w:t>; с</w:t>
      </w:r>
      <w:r w:rsidRPr="008A598B">
        <w:rPr>
          <w:rFonts w:ascii="KZ Times New Roman" w:eastAsia="Times New Roman" w:hAnsi="KZ Times New Roman" w:cs="Times New Roman"/>
          <w:bCs/>
          <w:sz w:val="28"/>
          <w:szCs w:val="28"/>
          <w:lang w:eastAsia="en-GB"/>
        </w:rPr>
        <w:t>≥</w:t>
      </w:r>
      <w:r w:rsidRPr="008A598B">
        <w:rPr>
          <w:rFonts w:ascii="KZ Times New Roman" w:eastAsia="Times New Roman" w:hAnsi="KZ Times New Roman" w:cs="Times New Roman"/>
          <w:bCs/>
          <w:sz w:val="28"/>
          <w:szCs w:val="28"/>
          <w:lang w:val="kk-KZ" w:eastAsia="en-GB"/>
        </w:rPr>
        <w:t xml:space="preserve">1; </w:t>
      </w:r>
      <w:r w:rsidRPr="008A598B">
        <w:rPr>
          <w:rFonts w:ascii="Lucida Sans Unicode" w:eastAsia="Times New Roman" w:hAnsi="Lucida Sans Unicode" w:cs="Lucida Sans Unicode"/>
          <w:bCs/>
          <w:sz w:val="28"/>
          <w:szCs w:val="28"/>
          <w:lang w:val="kk-KZ" w:eastAsia="en-GB"/>
        </w:rPr>
        <w:t>ρ</w:t>
      </w:r>
      <w:r w:rsidRPr="008A598B">
        <w:rPr>
          <w:rFonts w:ascii="KZ Times New Roman" w:eastAsia="Times New Roman" w:hAnsi="KZ Times New Roman" w:cs="Times New Roman"/>
          <w:bCs/>
          <w:sz w:val="28"/>
          <w:szCs w:val="28"/>
          <w:lang w:val="kk-KZ" w:eastAsia="en-GB"/>
        </w:rPr>
        <w:t>&lt;</w:t>
      </w:r>
      <w:r w:rsidRPr="008A598B">
        <w:rPr>
          <w:rFonts w:ascii="KZ Times New Roman" w:eastAsia="Times New Roman" w:hAnsi="KZ Times New Roman" w:cs="Times New Roman"/>
          <w:bCs/>
          <w:sz w:val="28"/>
          <w:szCs w:val="28"/>
          <w:lang w:eastAsia="en-GB"/>
        </w:rPr>
        <w:t>0</w:t>
      </w:r>
      <w:r w:rsidRPr="008A598B">
        <w:rPr>
          <w:rFonts w:ascii="KZ Times New Roman" w:eastAsia="Times New Roman" w:hAnsi="KZ Times New Roman" w:cs="Times New Roman"/>
          <w:bCs/>
          <w:sz w:val="28"/>
          <w:szCs w:val="28"/>
          <w:lang w:val="kk-KZ" w:eastAsia="en-GB"/>
        </w:rPr>
        <w:t>,</w:t>
      </w:r>
      <w:r w:rsidRPr="008A598B">
        <w:rPr>
          <w:rFonts w:ascii="KZ Times New Roman" w:eastAsia="Times New Roman" w:hAnsi="KZ Times New Roman" w:cs="Times New Roman"/>
          <w:bCs/>
          <w:sz w:val="28"/>
          <w:szCs w:val="28"/>
          <w:lang w:eastAsia="en-GB"/>
        </w:rPr>
        <w:t>1;</w:t>
      </w:r>
    </w:p>
    <w:p w:rsidR="008A598B" w:rsidRPr="008A598B" w:rsidRDefault="008A598B" w:rsidP="008A598B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</w:pP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 xml:space="preserve">Д) z≤0,3; с≥0,8; </w:t>
      </w:r>
      <w:r w:rsidRPr="008A598B">
        <w:rPr>
          <w:rFonts w:ascii="Lucida Sans Unicode" w:eastAsia="Times New Roman" w:hAnsi="Lucida Sans Unicode" w:cs="Lucida Sans Unicode"/>
          <w:sz w:val="28"/>
          <w:szCs w:val="28"/>
          <w:lang w:val="kk-KZ" w:eastAsia="en-GB"/>
        </w:rPr>
        <w:t>ρ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>&lt;0,1;</w:t>
      </w:r>
    </w:p>
    <w:p w:rsidR="008A598B" w:rsidRPr="008A598B" w:rsidRDefault="008A598B" w:rsidP="008A598B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</w:pP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 xml:space="preserve">Е) 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en-US" w:eastAsia="en-GB"/>
        </w:rPr>
        <w:t>z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eastAsia="en-GB"/>
        </w:rPr>
        <w:t>≤0,3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>; с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eastAsia="en-GB"/>
        </w:rPr>
        <w:t>≥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 xml:space="preserve">1,0; </w:t>
      </w:r>
      <w:r w:rsidRPr="008A598B">
        <w:rPr>
          <w:rFonts w:ascii="Lucida Sans Unicode" w:eastAsia="Times New Roman" w:hAnsi="Lucida Sans Unicode" w:cs="Lucida Sans Unicode"/>
          <w:sz w:val="28"/>
          <w:szCs w:val="28"/>
          <w:lang w:val="kk-KZ" w:eastAsia="en-GB"/>
        </w:rPr>
        <w:t>ρ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>&lt;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eastAsia="en-GB"/>
        </w:rPr>
        <w:t>0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>,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eastAsia="en-GB"/>
        </w:rPr>
        <w:t>1</w:t>
      </w:r>
      <w:r w:rsidRPr="008A598B">
        <w:rPr>
          <w:rFonts w:ascii="KZ Times New Roman" w:eastAsia="Times New Roman" w:hAnsi="KZ Times New Roman" w:cs="Times New Roman"/>
          <w:sz w:val="28"/>
          <w:szCs w:val="28"/>
          <w:lang w:val="kk-KZ" w:eastAsia="en-GB"/>
        </w:rPr>
        <w:t>.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ind w:right="-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причиной происшествия при уровне удобстве В является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lastRenderedPageBreak/>
        <w:t>А) неправильный обгон;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В) превышение скорости;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С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) недооценка водителями скорости впереди идущего автомобиля;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Д) несоблюдение безопасной дистанции движения;</w:t>
      </w:r>
    </w:p>
    <w:p w:rsidR="008A598B" w:rsidRPr="008A598B" w:rsidRDefault="008A598B" w:rsidP="008A598B">
      <w:pPr>
        <w:spacing w:after="0" w:line="240" w:lineRule="auto"/>
        <w:ind w:right="-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Е) отсутствие технических средств регулирования.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Какой вид обследования выполняются с работниками ДП и службы организации движения с целью предварительной оценки дорожных условий…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А) текущие;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В) </w:t>
      </w:r>
      <w:proofErr w:type="gramStart"/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оперативные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;</w:t>
      </w:r>
      <w:proofErr w:type="gramEnd"/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GB"/>
        </w:rPr>
        <w:t>С</w:t>
      </w: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 xml:space="preserve">) 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контрольные</w:t>
      </w: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Д) сезонные;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Е) частичные.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Когда выявляют участки дороги, не отвечающие требованиям безопасности движения, и участки возможных заторов …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А) в подготовительный период;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В) в камеральный период;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GB"/>
        </w:rPr>
        <w:t>С</w:t>
      </w: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) в полевой период;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Д) в осенний период;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Е) в неблагоприятных погодных условиях. 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Чему равна коэффициент безопасности на опасных участках?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А) &lt;0,8;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</w:pPr>
      <w:proofErr w:type="gramStart"/>
      <w:r w:rsidRPr="008A598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GB"/>
        </w:rPr>
        <w:t>В</w:t>
      </w: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)  0</w:t>
      </w:r>
      <w:proofErr w:type="gramEnd"/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,4-0,6;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С) 0,2-0,8;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Д) &gt;0,8;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Е) &lt;0,4.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ind w:right="-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видами разрушений дорожного покрытия являются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А) деформации и разрушения, вызванные пучинами;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В) потери прочности дорожной одежды;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С) просадки нежестких дорожных </w:t>
      </w:r>
      <w:proofErr w:type="spellStart"/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оджед</w:t>
      </w:r>
      <w:proofErr w:type="spellEnd"/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GB"/>
        </w:rPr>
        <w:t>Д</w:t>
      </w: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) волны, гребенка, сдвиги, трещины;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Е) проломы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Для чего предназначен </w:t>
      </w:r>
      <w:proofErr w:type="spellStart"/>
      <w:r w:rsidRPr="008A598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микропрофилограф</w:t>
      </w:r>
      <w:proofErr w:type="spellEnd"/>
      <w:r w:rsidRPr="008A598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игольчатого типа?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А) для измерения коэффициента сцепления;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В) для измерения ровности покрытия;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) для измерения шероховатости;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Д) для измерения износостойкости покрытия;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ru-RU"/>
        </w:rPr>
        <w:t>Е) для измерения прочности дорожной одежды.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Чему равен коэффициент </w:t>
      </w:r>
      <w:proofErr w:type="gramStart"/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сцепления </w:t>
      </w:r>
      <w:r w:rsidRPr="008A598B">
        <w:rPr>
          <w:rFonts w:ascii="Times New Roman" w:eastAsia="Times New Roman" w:hAnsi="Times New Roman" w:cs="Times New Roman"/>
          <w:position w:val="-10"/>
          <w:sz w:val="28"/>
          <w:szCs w:val="28"/>
          <w:lang w:eastAsia="en-GB"/>
        </w:rPr>
        <w:object w:dxaOrig="225" w:dyaOrig="2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2.75pt" o:ole="">
            <v:imagedata r:id="rId4" o:title=""/>
          </v:shape>
          <o:OLEObject Type="Embed" ProgID="Equation.3" ShapeID="_x0000_i1025" DrawAspect="Content" ObjectID="_1701957797" r:id="rId5"/>
        </w:objec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(</w:t>
      </w:r>
      <w:proofErr w:type="gramEnd"/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при скорости 60 км/час) при особо благоприятных условиях движения?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lastRenderedPageBreak/>
        <w:t>А) 0,2;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</w:pPr>
      <w:proofErr w:type="gramStart"/>
      <w:r w:rsidRPr="008A598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GB"/>
        </w:rPr>
        <w:t>В</w:t>
      </w: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)  0</w:t>
      </w:r>
      <w:proofErr w:type="gramEnd"/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,7;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С) 0,4;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Д) 0,5;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Е) 0,3.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iCs/>
          <w:sz w:val="28"/>
          <w:szCs w:val="28"/>
          <w:lang w:eastAsia="en-GB"/>
        </w:rPr>
        <w:t>Значение установившейся скорости на подъеме рассчитывается по формуле…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А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) </w:t>
      </w:r>
      <w:r w:rsidRPr="008A598B">
        <w:rPr>
          <w:rFonts w:ascii="Times New Roman" w:eastAsia="Times New Roman" w:hAnsi="Times New Roman" w:cs="Times New Roman"/>
          <w:sz w:val="28"/>
          <w:szCs w:val="28"/>
          <w:lang w:val="en-US" w:eastAsia="en-GB"/>
        </w:rPr>
        <w:t>V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=</w:t>
      </w:r>
      <w:r w:rsidRPr="008A598B">
        <w:rPr>
          <w:rFonts w:ascii="Times New Roman" w:eastAsia="Times New Roman" w:hAnsi="Times New Roman" w:cs="Times New Roman"/>
          <w:sz w:val="28"/>
          <w:szCs w:val="28"/>
          <w:lang w:val="en-US" w:eastAsia="en-GB"/>
        </w:rPr>
        <w:t>V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н/(1+</w:t>
      </w:r>
      <w:r w:rsidRPr="008A598B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αI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);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В) </w:t>
      </w:r>
      <w:r w:rsidRPr="008A598B">
        <w:rPr>
          <w:rFonts w:ascii="Times New Roman" w:eastAsia="Times New Roman" w:hAnsi="Times New Roman" w:cs="Times New Roman"/>
          <w:sz w:val="28"/>
          <w:szCs w:val="28"/>
          <w:lang w:val="en-US" w:eastAsia="en-GB"/>
        </w:rPr>
        <w:t>V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=</w:t>
      </w:r>
      <w:r w:rsidRPr="008A598B">
        <w:rPr>
          <w:rFonts w:ascii="Times New Roman" w:eastAsia="Times New Roman" w:hAnsi="Times New Roman" w:cs="Times New Roman"/>
          <w:sz w:val="28"/>
          <w:szCs w:val="28"/>
          <w:lang w:val="en-US" w:eastAsia="en-GB"/>
        </w:rPr>
        <w:t>V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н/(</w:t>
      </w:r>
      <w:r w:rsidRPr="008A598B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α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+</w:t>
      </w:r>
      <w:r w:rsidRPr="008A598B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I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);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С) </w:t>
      </w:r>
      <w:r w:rsidRPr="008A598B">
        <w:rPr>
          <w:rFonts w:ascii="Times New Roman" w:eastAsia="Times New Roman" w:hAnsi="Times New Roman" w:cs="Times New Roman"/>
          <w:sz w:val="28"/>
          <w:szCs w:val="28"/>
          <w:lang w:val="en-US" w:eastAsia="en-GB"/>
        </w:rPr>
        <w:t>V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= (1+</w:t>
      </w:r>
      <w:r w:rsidRPr="008A598B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α</w:t>
      </w:r>
      <w:proofErr w:type="gramStart"/>
      <w:r w:rsidRPr="008A598B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I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)/</w:t>
      </w:r>
      <w:proofErr w:type="gramEnd"/>
      <w:r w:rsidRPr="008A598B">
        <w:rPr>
          <w:rFonts w:ascii="Times New Roman" w:eastAsia="Times New Roman" w:hAnsi="Times New Roman" w:cs="Times New Roman"/>
          <w:sz w:val="28"/>
          <w:szCs w:val="28"/>
          <w:lang w:val="en-US" w:eastAsia="en-GB"/>
        </w:rPr>
        <w:t>V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н;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Д) </w:t>
      </w:r>
      <w:r w:rsidRPr="008A598B">
        <w:rPr>
          <w:rFonts w:ascii="Times New Roman" w:eastAsia="Times New Roman" w:hAnsi="Times New Roman" w:cs="Times New Roman"/>
          <w:sz w:val="28"/>
          <w:szCs w:val="28"/>
          <w:lang w:val="en-US" w:eastAsia="en-GB"/>
        </w:rPr>
        <w:t>V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= (1+</w:t>
      </w:r>
      <w:r w:rsidRPr="008A598B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α</w:t>
      </w:r>
      <w:proofErr w:type="gramStart"/>
      <w:r w:rsidRPr="008A598B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I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)/</w:t>
      </w:r>
      <w:proofErr w:type="gramEnd"/>
      <w:r w:rsidRPr="008A598B">
        <w:rPr>
          <w:rFonts w:ascii="Times New Roman" w:eastAsia="Times New Roman" w:hAnsi="Times New Roman" w:cs="Times New Roman"/>
          <w:sz w:val="28"/>
          <w:szCs w:val="28"/>
          <w:lang w:val="en-US" w:eastAsia="en-GB"/>
        </w:rPr>
        <w:t>V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б;</w:t>
      </w:r>
    </w:p>
    <w:p w:rsidR="008A598B" w:rsidRPr="008A598B" w:rsidRDefault="008A598B" w:rsidP="008A59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Е) </w:t>
      </w:r>
      <w:r w:rsidRPr="008A598B">
        <w:rPr>
          <w:rFonts w:ascii="Times New Roman" w:eastAsia="Times New Roman" w:hAnsi="Times New Roman" w:cs="Times New Roman"/>
          <w:sz w:val="28"/>
          <w:szCs w:val="28"/>
          <w:lang w:val="en-US" w:eastAsia="en-GB"/>
        </w:rPr>
        <w:t>V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=</w:t>
      </w:r>
      <w:r w:rsidRPr="008A598B">
        <w:rPr>
          <w:rFonts w:ascii="Times New Roman" w:eastAsia="Times New Roman" w:hAnsi="Times New Roman" w:cs="Times New Roman"/>
          <w:sz w:val="28"/>
          <w:szCs w:val="28"/>
          <w:lang w:val="en-US" w:eastAsia="en-GB"/>
        </w:rPr>
        <w:t>V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н/(1+</w:t>
      </w:r>
      <w:r w:rsidRPr="008A598B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α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).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Площадки отдыха на дорогах общего пользования устраивают через…. 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А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) 8-25 км;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В) 4-14 км;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С) 5-15 км;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Д) 1-2 км;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Е) 3-4 км.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Дополнение и улучшение ландшафта озеленением, </w:t>
      </w:r>
      <w:proofErr w:type="gramStart"/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оборудованием  и</w:t>
      </w:r>
      <w:proofErr w:type="gramEnd"/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оформлением дороги называется…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А) учетом соблюдения требований охраны окружающей среды;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В) уровнем удобства;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С) декоративным качеством дороги;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Д) архитектурным бассейном;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Е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) архитектурным качеством дороги.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Длина архитектурных бассейнов соответствует участку дороги, который проходит автомобиль, двигаясь с расчетной скоростью в течение 3-5 мин, и составляет; для дорог 4 и 5 категории….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А</w:t>
      </w: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) 6-8 км;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В) 1-2 км;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С) 3-4 км;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Д) 4-5 км;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Е) 5-6 км.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При обследовании автомобильных дорог с точки зрения ее архитектурно-ландшафтных качеств оценивают…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А) Декоративные качества озеленения, породы, возраст и состояние древесной и кустарниковой растительности в придорожной полосе шириной 50 м в каждую сторону;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В) транспортно-эксплуатационные показатели автомобильной дороги;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С) ровность дорожного покрытия;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t>Д) сцепные качества покрытий;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A598B">
        <w:rPr>
          <w:rFonts w:ascii="Times New Roman" w:eastAsia="Times New Roman" w:hAnsi="Times New Roman" w:cs="Times New Roman"/>
          <w:sz w:val="28"/>
          <w:szCs w:val="28"/>
          <w:lang w:eastAsia="en-GB"/>
        </w:rPr>
        <w:lastRenderedPageBreak/>
        <w:t>Е) надежность автомобильной дороги.</w:t>
      </w: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en-GB"/>
        </w:rPr>
      </w:pPr>
      <w:bookmarkStart w:id="0" w:name="_GoBack"/>
      <w:bookmarkEnd w:id="0"/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A598B" w:rsidRPr="008A598B" w:rsidRDefault="008A598B" w:rsidP="008A59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C71FA7" w:rsidRDefault="00C71FA7"/>
    <w:sectPr w:rsidR="00C71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1D3"/>
    <w:rsid w:val="001C71D3"/>
    <w:rsid w:val="005C2727"/>
    <w:rsid w:val="008A598B"/>
    <w:rsid w:val="00C7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9C8D31-E021-4C70-91AD-6255009E5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685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940</Words>
  <Characters>5363</Characters>
  <Application>Microsoft Office Word</Application>
  <DocSecurity>0</DocSecurity>
  <Lines>44</Lines>
  <Paragraphs>12</Paragraphs>
  <ScaleCrop>false</ScaleCrop>
  <Company/>
  <LinksUpToDate>false</LinksUpToDate>
  <CharactersWithSpaces>6291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2021-12-25T11:13:00Z</dcterms:created>
  <dcterms:modified xsi:type="dcterms:W3CDTF">2021-12-25T11:17:00Z</dcterms:modified>
</cp:coreProperties>
</file>